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2E" w:rsidRPr="00DD022D" w:rsidRDefault="004222C0" w:rsidP="00960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22D">
        <w:rPr>
          <w:rFonts w:ascii="Times New Roman" w:hAnsi="Times New Roman" w:cs="Times New Roman"/>
          <w:b/>
          <w:sz w:val="24"/>
          <w:szCs w:val="24"/>
        </w:rPr>
        <w:t>Бюджетная классификация</w:t>
      </w:r>
    </w:p>
    <w:p w:rsidR="008F1C7C" w:rsidRDefault="008F1C7C" w:rsidP="006471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1C7C">
        <w:rPr>
          <w:rFonts w:ascii="Times New Roman" w:hAnsi="Times New Roman" w:cs="Times New Roman"/>
          <w:sz w:val="24"/>
          <w:szCs w:val="24"/>
        </w:rPr>
        <w:t>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</w:p>
    <w:p w:rsidR="004222C0" w:rsidRPr="00DD022D" w:rsidRDefault="004222C0" w:rsidP="004222C0">
      <w:pPr>
        <w:rPr>
          <w:rFonts w:ascii="Times New Roman" w:hAnsi="Times New Roman" w:cs="Times New Roman"/>
          <w:b/>
          <w:sz w:val="24"/>
          <w:szCs w:val="24"/>
        </w:rPr>
      </w:pPr>
      <w:r w:rsidRPr="00DD022D">
        <w:rPr>
          <w:rFonts w:ascii="Times New Roman" w:hAnsi="Times New Roman" w:cs="Times New Roman"/>
          <w:b/>
          <w:sz w:val="24"/>
          <w:szCs w:val="24"/>
        </w:rPr>
        <w:t>КЛАССИФИКАЦИЯ ДОХОДОВ БЮДЖЕТОВ</w:t>
      </w: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ПРИМЕР КОДА КЛАССИФИКАЦИИ ДОХОДОВ</w:t>
      </w: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Транспортный налог с физических лиц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18"/>
        <w:gridCol w:w="1085"/>
        <w:gridCol w:w="978"/>
        <w:gridCol w:w="1190"/>
        <w:gridCol w:w="1196"/>
        <w:gridCol w:w="1017"/>
        <w:gridCol w:w="1535"/>
        <w:gridCol w:w="943"/>
      </w:tblGrid>
      <w:tr w:rsidR="004222C0" w:rsidRPr="00DD022D" w:rsidTr="001D29ED">
        <w:tc>
          <w:tcPr>
            <w:tcW w:w="1141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5654" w:type="dxa"/>
            <w:gridSpan w:val="5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2550" w:type="dxa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4222C0" w:rsidRPr="00DD022D" w:rsidTr="001D29ED">
        <w:tc>
          <w:tcPr>
            <w:tcW w:w="1141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29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33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33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050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85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65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Справочная информация по элементам кода: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89"/>
        <w:gridCol w:w="3140"/>
        <w:gridCol w:w="4133"/>
      </w:tblGrid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 кода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182 – Федеральная налоговая служба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 – налоговые и неналоговые доходы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 – налоги на имущество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04 – транспортный налог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подстатья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012 – транспортный налог с физических лиц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 – бюджет субъекта Российской Федерации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 подвида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2100 – </w:t>
            </w:r>
            <w:r w:rsidR="00A50AB3" w:rsidRPr="00DD022D">
              <w:rPr>
                <w:rFonts w:ascii="Times New Roman" w:hAnsi="Times New Roman" w:cs="Times New Roman"/>
                <w:sz w:val="24"/>
                <w:szCs w:val="24"/>
              </w:rPr>
              <w:t>пени по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соответствующему платежу (по транспортному налогу с физических лиц)</w:t>
            </w:r>
          </w:p>
        </w:tc>
      </w:tr>
      <w:tr w:rsidR="004222C0" w:rsidRPr="00DD022D" w:rsidTr="001D29ED">
        <w:tc>
          <w:tcPr>
            <w:tcW w:w="183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3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 подвида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бюджетов</w:t>
            </w:r>
          </w:p>
        </w:tc>
        <w:tc>
          <w:tcPr>
            <w:tcW w:w="4274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100 – доходы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110 – налоговые доходы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Маска кода: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012"/>
        <w:gridCol w:w="867"/>
        <w:gridCol w:w="1050"/>
        <w:gridCol w:w="867"/>
        <w:gridCol w:w="1004"/>
        <w:gridCol w:w="867"/>
        <w:gridCol w:w="1020"/>
        <w:gridCol w:w="1375"/>
      </w:tblGrid>
      <w:tr w:rsidR="004222C0" w:rsidRPr="00DD022D" w:rsidTr="001D29ED">
        <w:tc>
          <w:tcPr>
            <w:tcW w:w="132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2426" w:type="pct"/>
            <w:gridSpan w:val="5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1246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4222C0" w:rsidRPr="00DD022D" w:rsidTr="001D29ED">
        <w:tc>
          <w:tcPr>
            <w:tcW w:w="132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</w:t>
            </w:r>
          </w:p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2426" w:type="pct"/>
            <w:gridSpan w:val="5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</w:t>
            </w:r>
          </w:p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1246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ПОДВИДА</w:t>
            </w:r>
          </w:p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</w:tr>
      <w:tr w:rsidR="004222C0" w:rsidRPr="00DD022D" w:rsidTr="001D29ED">
        <w:tc>
          <w:tcPr>
            <w:tcW w:w="132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5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6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5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2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53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3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714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4222C0" w:rsidRPr="00DD022D" w:rsidTr="001D29ED">
        <w:tc>
          <w:tcPr>
            <w:tcW w:w="1329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546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52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522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подстатья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453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532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 подвида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бюджетов</w:t>
            </w:r>
          </w:p>
        </w:tc>
        <w:tc>
          <w:tcPr>
            <w:tcW w:w="714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 подвида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бюджетов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Справочная информация по элементам маски кода: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78"/>
        <w:gridCol w:w="6384"/>
      </w:tblGrid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 маски кода</w:t>
            </w:r>
          </w:p>
        </w:tc>
        <w:tc>
          <w:tcPr>
            <w:tcW w:w="66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6656" w:type="dxa"/>
          </w:tcPr>
          <w:p w:rsidR="004222C0" w:rsidRPr="00DD022D" w:rsidRDefault="004222C0" w:rsidP="00CC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доходов бюджетов (1 - 3 знаки кода классификации доходов бюджетов) состоит из 3-х знаков и соответствует номеру, присвоенному главному администратору доходов бюджета, в соответствии с законодательством города Москвы. </w:t>
            </w:r>
            <w:r w:rsidR="00B03C20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доходов бюджета -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Центральный банк Российской Федерации,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бюджетов. 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665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является 4-м знаком кода классификации доходов.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доходов предусматривает следующие группы: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1 - налоговые и неналоговые доходы;</w:t>
            </w:r>
          </w:p>
          <w:p w:rsidR="00CC7068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2 - безвозмездные поступления.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665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Пятый и шестой знаки кода классификации доходов.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доходов предусматривает следующие подгруппы: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01 - налоги на прибыль, доходы;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02 - страховые взносы на обязательное социальное страхование;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03 - налоги на товары (работы, услуги), реализуемые на территории Российской Федерации;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04 - налоги на товары, ввозимые на территорию Российской Федерации;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05 - налоги на совокупный доход;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06 - налоги на имущество;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07 - налоги, сборы и регулярные платежи за пользование природными ресурсами;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08 - государственная пошлина;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09 - задолженность и перерасчеты по отмененным налогам, сборам и иным обязательным платежам;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10 - доходы от внешнеэкономической деятельности;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11 - доходы от использования имущества, находящегося в государственной и муниципальной собственности;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12 - платежи при пользовании природными ресурсами;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13 - доходы от оказания платных услуг (работ) и компенсации затрат государства;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14 - доходы от продажи материальных и нематериальных активов;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15 - административные платежи и сборы;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16 - штрафы, санкции, возмещение ущерба;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17 - прочие неналоговые доходы;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18 - поступления (перечисления) по урегулированию расчетов между бюджетами бюджетной системы Российской Федерации.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665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Седьмой и восьмой знаки кода классификации доходов. Код статьи вида доходов производит дальнейшую детализацию кода подгрупп вида доходов.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подстатья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665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Девятый, десятый и одиннадцатый знаки кода классификации доходов. Код подстатьи вида доходов производит дальнейшую детализацию кода статьи вида доходов.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665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Двенадцатый и тринадцатый знаки кода классификации доходов.</w:t>
            </w:r>
          </w:p>
          <w:p w:rsidR="006C66D3" w:rsidRPr="00DD022D" w:rsidRDefault="006C66D3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 включает в себя соответствующий код элемента доходов в зависимости от полномочия по установлению и нормативному правовому регулированию налогов, сборов и иных обязательных платежей, других доходов бюджетов бюджетной системы Российской Федерации, а также в зависимости от наличия прав требования к плательщикам по неналоговым доходам и безвозмездным поступлениям.</w:t>
            </w:r>
          </w:p>
          <w:p w:rsidR="004222C0" w:rsidRPr="00DD022D" w:rsidRDefault="006C66D3" w:rsidP="0069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Для неналоговых доходов коды элементов доходов присваиваются в зависимости от полномочий по установлению размеров платежей соответственно федеральными органами государственной власти (государственными органами), органами государственной власти (государственными органами) субъектов Российской Федерации.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 подвида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бюджетов</w:t>
            </w:r>
          </w:p>
        </w:tc>
        <w:tc>
          <w:tcPr>
            <w:tcW w:w="6656" w:type="dxa"/>
          </w:tcPr>
          <w:p w:rsidR="004222C0" w:rsidRPr="00DD022D" w:rsidRDefault="004222C0" w:rsidP="00695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подвида доходов бюджета (14 - 17 знаки кода классификации доходов бюджетов) состоит из четырех знаков. </w:t>
            </w:r>
            <w:r w:rsidR="00486119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орган субъекта Российской Федерации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утверждает перечень кодов подвидов доходов бюджета по видам доходов бюджета, главными администраторами которых являются органы государственной власти города Москвы, органы управления территориальными государственными внебюджетными фондами и (или) находящиеся в их ведении казенные учреждения</w:t>
            </w:r>
            <w:r w:rsidR="00486119" w:rsidRPr="00DD022D">
              <w:rPr>
                <w:rFonts w:ascii="Times New Roman" w:hAnsi="Times New Roman" w:cs="Times New Roman"/>
                <w:sz w:val="24"/>
                <w:szCs w:val="24"/>
              </w:rPr>
              <w:t>, с учетом общих требований к порядку формирования перечня кодов подвидов доходов бюджетов бюджетной системы Российской Федерации.</w:t>
            </w:r>
          </w:p>
        </w:tc>
      </w:tr>
      <w:tr w:rsidR="004222C0" w:rsidRPr="00DD022D" w:rsidTr="001D29ED">
        <w:tc>
          <w:tcPr>
            <w:tcW w:w="2689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 подвида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доходов бюджетов</w:t>
            </w:r>
          </w:p>
        </w:tc>
        <w:tc>
          <w:tcPr>
            <w:tcW w:w="665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Аналитическая группа подвида доходов бюджета определяется трехзначным кодом (18 - 20 знаки кода классификации доходов) и является группировкой доходов по виду финансовых операций, относящихся к доходам, состоит из следующих групп: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100 - Доходы;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400 - Выбытие нефинансовых активов.</w:t>
            </w:r>
          </w:p>
        </w:tc>
      </w:tr>
    </w:tbl>
    <w:p w:rsidR="004222C0" w:rsidRDefault="004222C0" w:rsidP="004222C0">
      <w:pPr>
        <w:rPr>
          <w:rFonts w:ascii="Times New Roman" w:hAnsi="Times New Roman" w:cs="Times New Roman"/>
          <w:b/>
          <w:sz w:val="24"/>
          <w:szCs w:val="24"/>
        </w:rPr>
      </w:pPr>
    </w:p>
    <w:p w:rsidR="00F7291F" w:rsidRPr="00DD022D" w:rsidRDefault="00F7291F" w:rsidP="004222C0">
      <w:pPr>
        <w:rPr>
          <w:rFonts w:ascii="Times New Roman" w:hAnsi="Times New Roman" w:cs="Times New Roman"/>
          <w:b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b/>
          <w:sz w:val="24"/>
          <w:szCs w:val="24"/>
        </w:rPr>
      </w:pPr>
      <w:r w:rsidRPr="00DD022D">
        <w:rPr>
          <w:rFonts w:ascii="Times New Roman" w:hAnsi="Times New Roman" w:cs="Times New Roman"/>
          <w:b/>
          <w:sz w:val="24"/>
          <w:szCs w:val="24"/>
        </w:rPr>
        <w:lastRenderedPageBreak/>
        <w:t>КЛАССИФИКАЦИЯ РАСХОДОВ БЮДЖЕТОВ</w:t>
      </w: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ПРИМЕР КОДА КЛАССИФИКАЦИИ РАСХОДОВ</w:t>
      </w:r>
    </w:p>
    <w:p w:rsidR="004222C0" w:rsidRPr="00DD022D" w:rsidRDefault="008F1C7C" w:rsidP="00E971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C7C">
        <w:rPr>
          <w:rFonts w:ascii="Times New Roman" w:hAnsi="Times New Roman" w:cs="Times New Roman"/>
          <w:sz w:val="24"/>
          <w:szCs w:val="24"/>
        </w:rPr>
        <w:t>Иные закупки товаров, работ и услуг для обеспечения государственных (муниципальных) нужд</w:t>
      </w:r>
      <w:r w:rsidR="005D7C39">
        <w:rPr>
          <w:rFonts w:ascii="Times New Roman" w:hAnsi="Times New Roman" w:cs="Times New Roman"/>
          <w:sz w:val="24"/>
          <w:szCs w:val="24"/>
        </w:rPr>
        <w:t xml:space="preserve"> </w:t>
      </w:r>
      <w:r w:rsidR="004222C0" w:rsidRPr="00DD022D">
        <w:rPr>
          <w:rFonts w:ascii="Times New Roman" w:hAnsi="Times New Roman" w:cs="Times New Roman"/>
          <w:sz w:val="24"/>
          <w:szCs w:val="24"/>
        </w:rPr>
        <w:t xml:space="preserve">с целью обеспечения питанием </w:t>
      </w:r>
      <w:r w:rsidR="006C6A4A" w:rsidRPr="006C6A4A">
        <w:rPr>
          <w:rFonts w:ascii="Times New Roman" w:hAnsi="Times New Roman" w:cs="Times New Roman"/>
          <w:sz w:val="24"/>
          <w:szCs w:val="24"/>
        </w:rPr>
        <w:t>детей в образовательных организациях, реализующих основные общеобразовательные программы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9"/>
        <w:gridCol w:w="990"/>
        <w:gridCol w:w="1315"/>
        <w:gridCol w:w="1478"/>
        <w:gridCol w:w="1163"/>
        <w:gridCol w:w="832"/>
        <w:gridCol w:w="832"/>
        <w:gridCol w:w="833"/>
      </w:tblGrid>
      <w:tr w:rsidR="004222C0" w:rsidRPr="00DD022D" w:rsidTr="008F1C7C">
        <w:trPr>
          <w:trHeight w:val="277"/>
        </w:trPr>
        <w:tc>
          <w:tcPr>
            <w:tcW w:w="1680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1009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1355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2705" w:type="dxa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</w:tc>
        <w:tc>
          <w:tcPr>
            <w:tcW w:w="2596" w:type="dxa"/>
            <w:gridSpan w:val="3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</w:tc>
      </w:tr>
      <w:tr w:rsidR="004222C0" w:rsidRPr="00DD022D" w:rsidTr="001D29ED">
        <w:tc>
          <w:tcPr>
            <w:tcW w:w="1680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1009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5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03А03</w:t>
            </w:r>
          </w:p>
        </w:tc>
        <w:tc>
          <w:tcPr>
            <w:tcW w:w="1186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06200</w:t>
            </w:r>
          </w:p>
        </w:tc>
        <w:tc>
          <w:tcPr>
            <w:tcW w:w="865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4222C0" w:rsidRPr="00DD022D" w:rsidRDefault="00C0376C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Справочная информация по элементам кода: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65"/>
        <w:gridCol w:w="3056"/>
        <w:gridCol w:w="4241"/>
      </w:tblGrid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 кода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бюджетных средств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075 – Департамент образования города Москвы</w:t>
            </w:r>
          </w:p>
        </w:tc>
      </w:tr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07 – Образование</w:t>
            </w:r>
          </w:p>
        </w:tc>
      </w:tr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 – Дошкольное образование</w:t>
            </w:r>
          </w:p>
        </w:tc>
      </w:tr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03А03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 – код государственной программы города Москвы «Развитие образования»;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 – подпрограмма «Общее образование»;</w:t>
            </w:r>
          </w:p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 – мероприятие «Обеспечение мер социальной защиты в образовательных организациях, реализующих основные общеобразовательные программы»</w:t>
            </w:r>
          </w:p>
        </w:tc>
      </w:tr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06200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06200 – Питание детей в образовательных организациях, реализующих основные общеобразовательные программы</w:t>
            </w:r>
          </w:p>
        </w:tc>
      </w:tr>
      <w:tr w:rsidR="004222C0" w:rsidRPr="00DD022D" w:rsidTr="006C6A4A">
        <w:tc>
          <w:tcPr>
            <w:tcW w:w="176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4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200 – Закупка товаров, работ и услуг для обеспечения государственных (муниципальных) нужд</w:t>
            </w:r>
          </w:p>
        </w:tc>
      </w:tr>
      <w:tr w:rsidR="006C6A4A" w:rsidRPr="00DD022D" w:rsidTr="006C6A4A">
        <w:tc>
          <w:tcPr>
            <w:tcW w:w="1765" w:type="dxa"/>
          </w:tcPr>
          <w:p w:rsidR="006C6A4A" w:rsidRPr="00DD022D" w:rsidRDefault="006C6A4A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6C6A4A" w:rsidRPr="00DD022D" w:rsidRDefault="006C6A4A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4241" w:type="dxa"/>
            <w:vMerge w:val="restart"/>
          </w:tcPr>
          <w:p w:rsidR="006C6A4A" w:rsidRPr="00DD022D" w:rsidRDefault="006C6A4A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3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0376C" w:rsidRPr="00C0376C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</w:tr>
      <w:tr w:rsidR="006C6A4A" w:rsidRPr="00DD022D" w:rsidTr="006C6A4A">
        <w:tc>
          <w:tcPr>
            <w:tcW w:w="1765" w:type="dxa"/>
          </w:tcPr>
          <w:p w:rsidR="006C6A4A" w:rsidRPr="00DD022D" w:rsidRDefault="00C0376C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6C6A4A" w:rsidRPr="00DD022D" w:rsidRDefault="006C6A4A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4241" w:type="dxa"/>
            <w:vMerge/>
          </w:tcPr>
          <w:p w:rsidR="006C6A4A" w:rsidRPr="00DD022D" w:rsidRDefault="006C6A4A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Маска кода:</w:t>
      </w:r>
    </w:p>
    <w:tbl>
      <w:tblPr>
        <w:tblStyle w:val="ad"/>
        <w:tblW w:w="5081" w:type="pct"/>
        <w:tblLayout w:type="fixed"/>
        <w:tblLook w:val="04A0" w:firstRow="1" w:lastRow="0" w:firstColumn="1" w:lastColumn="0" w:noHBand="0" w:noVBand="1"/>
      </w:tblPr>
      <w:tblGrid>
        <w:gridCol w:w="1761"/>
        <w:gridCol w:w="1020"/>
        <w:gridCol w:w="1182"/>
        <w:gridCol w:w="1276"/>
        <w:gridCol w:w="1424"/>
        <w:gridCol w:w="691"/>
        <w:gridCol w:w="1006"/>
        <w:gridCol w:w="849"/>
      </w:tblGrid>
      <w:tr w:rsidR="004222C0" w:rsidRPr="00DD022D" w:rsidTr="00E9716A">
        <w:tc>
          <w:tcPr>
            <w:tcW w:w="956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554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64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1466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</w:tc>
        <w:tc>
          <w:tcPr>
            <w:tcW w:w="1382" w:type="pct"/>
            <w:gridSpan w:val="3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</w:tc>
      </w:tr>
      <w:tr w:rsidR="004222C0" w:rsidRPr="00DD022D" w:rsidTr="00E9716A">
        <w:tc>
          <w:tcPr>
            <w:tcW w:w="956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БЮДЖЕТНЫХ СРЕДСТВ</w:t>
            </w:r>
          </w:p>
        </w:tc>
        <w:tc>
          <w:tcPr>
            <w:tcW w:w="554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64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1466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1382" w:type="pct"/>
            <w:gridSpan w:val="3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</w:tr>
      <w:tr w:rsidR="004222C0" w:rsidRPr="00DD022D" w:rsidTr="00E9716A">
        <w:tc>
          <w:tcPr>
            <w:tcW w:w="956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554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64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693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773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375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6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2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222C0" w:rsidRPr="00DD022D" w:rsidTr="00E9716A">
        <w:tc>
          <w:tcPr>
            <w:tcW w:w="956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4222C0" w:rsidRPr="00DD022D" w:rsidRDefault="004222C0" w:rsidP="00C0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773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375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6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462" w:type="pct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Справочная информация по элементам маски кода: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4222C0" w:rsidRPr="00DD022D" w:rsidTr="001D29ED">
        <w:tc>
          <w:tcPr>
            <w:tcW w:w="240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 маски кода</w:t>
            </w:r>
          </w:p>
        </w:tc>
        <w:tc>
          <w:tcPr>
            <w:tcW w:w="694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222C0" w:rsidRPr="00DD022D" w:rsidTr="001D29ED">
        <w:tc>
          <w:tcPr>
            <w:tcW w:w="240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БЮДЖЕТНЫХ СРЕДСТВ</w:t>
            </w:r>
          </w:p>
        </w:tc>
        <w:tc>
          <w:tcPr>
            <w:tcW w:w="6946" w:type="dxa"/>
          </w:tcPr>
          <w:p w:rsidR="00B03C20" w:rsidRPr="00DD022D" w:rsidRDefault="00C0376C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бюджетных средств состоит из трех разрядов и формируется с применением числового ряда: 1, 2, 3, 4, 5, 6, 7, 8, 9, 0.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средств бюджета устанавливается в соответствии с утвержденным в составе ведомственной структуры расходов бюджета перечнем главных распорядителей средств соответствующего бюджета.</w:t>
            </w:r>
          </w:p>
          <w:p w:rsidR="00CA59CC" w:rsidRPr="00DD022D" w:rsidRDefault="004222C0" w:rsidP="00CC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Главному распорядителю средств соответствующего бюджета, обладающему полномочиями главного администратора доходов данного бюджета, присваивается код главного распорядителя бюджетных средств, соответствующий коду главы</w:t>
            </w:r>
            <w:r w:rsidR="00CA59CC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главных распорядителей средств соответствующего бюджета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22C0" w:rsidRPr="00DD022D" w:rsidTr="001D29ED">
        <w:tc>
          <w:tcPr>
            <w:tcW w:w="240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694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раздела состоит из двух разрядов.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Разделам присваиваются уникальные цифровые коды, формируемые с применением числового ряда: 1, 2, 3, 4, 5, 6, 7, 8, 9, 0.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и пятый разряды знаки </w:t>
            </w:r>
            <w:r w:rsidR="005A38F3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кода 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 определяют расходование бюджетных средств на выполнение функций государства.</w:t>
            </w:r>
          </w:p>
          <w:p w:rsidR="004222C0" w:rsidRPr="00DD022D" w:rsidRDefault="00C0376C" w:rsidP="00F01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Единые для бюджетов бюджетной системы Российской Федерации коды разделов и подразделов приведены в приложении 1 к Порядку формирования и применения кодов бюджетной классификации Российской Федерации, их структуре и принципах назначения, утвержденному приказом Минфина России от 24.05.2022 № 82 н.</w:t>
            </w:r>
          </w:p>
        </w:tc>
      </w:tr>
      <w:tr w:rsidR="004222C0" w:rsidRPr="00DD022D" w:rsidTr="001D29ED">
        <w:tc>
          <w:tcPr>
            <w:tcW w:w="240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6946" w:type="dxa"/>
          </w:tcPr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подраздела состоит из двух разрядов.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Подразделам присваиваются уникальные цифровые коды, формируемые с применением числового ряда: 1, 2, 3, 4, 5, 6, 7, 8, 9, 0.</w:t>
            </w:r>
          </w:p>
          <w:p w:rsidR="004222C0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Шестой и седьмой знаки кода классификации расходов определяют направление расходования бюджетных средств по функциям государства в пределах разделов. Структура подразделов классификации расходов бюджета построена по принципу выделения подфункций.</w:t>
            </w:r>
          </w:p>
          <w:p w:rsidR="004222C0" w:rsidRPr="00DD022D" w:rsidRDefault="00C0376C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Единые для бюджетов бюджетной системы Российской Федерации коды разделов и подразделов приведены в приложении 1 к Порядку формирования и применения кодов бюджетной классификации Российской Федерации, их структуре и принципах назначения, утвержденному приказом Минфина России от 24.05.2022 № 82 н.</w:t>
            </w:r>
          </w:p>
        </w:tc>
      </w:tr>
      <w:tr w:rsidR="005A38F3" w:rsidRPr="00DD022D" w:rsidTr="00DD022D">
        <w:trPr>
          <w:trHeight w:val="983"/>
        </w:trPr>
        <w:tc>
          <w:tcPr>
            <w:tcW w:w="2405" w:type="dxa"/>
          </w:tcPr>
          <w:p w:rsidR="005A38F3" w:rsidRPr="00DD022D" w:rsidRDefault="005A38F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ЦЕЛЕВОЙ СТАТЬИ РАСХОДОВ</w:t>
            </w:r>
          </w:p>
        </w:tc>
        <w:tc>
          <w:tcPr>
            <w:tcW w:w="6946" w:type="dxa"/>
            <w:vMerge w:val="restart"/>
          </w:tcPr>
          <w:p w:rsidR="00001E65" w:rsidRPr="00DD022D" w:rsidRDefault="00001E65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Коды целевых статей расходов соответствующего бюджета устанавливается для бюджета субъекта Российской Федерации и бюджета территориального государственного внебюджетного фонда финансовым органом соответствующего субъекта Российской Федерации. </w:t>
            </w:r>
          </w:p>
          <w:p w:rsidR="005A38F3" w:rsidRPr="00DD022D" w:rsidRDefault="00C0376C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Знаки с 1 по 2 десятизначного кода целевой статьи предназначены для кодировки государственных программ города Москвы и не включенных в государственные программы города Москвы направлений деятельности органов государственной власти города Москвы.</w:t>
            </w:r>
          </w:p>
          <w:p w:rsidR="005A38F3" w:rsidRPr="00DD022D" w:rsidRDefault="005A38F3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Знак 3 десятизначного кода целевой статьи обозначается заглавным буквенным символом кириллицы и предназначен для кодировки подпрограммы в рамках государственной программы города Москвы или детализации непрограммных направлений деятельности.</w:t>
            </w:r>
          </w:p>
          <w:p w:rsidR="005A38F3" w:rsidRDefault="005A38F3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Знаки с 4 по 5 десятизначного кода целевой статьи предназначены для обозначения основного мероприятия в рамках подпрограммы (непрограммного направления деятельности).</w:t>
            </w:r>
          </w:p>
          <w:p w:rsidR="00C0376C" w:rsidRPr="00DD022D" w:rsidRDefault="00C0376C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Знаки 6-10 десятизначного кода целевой статьи конкретизируют (в случае необходимости) направления расходования средств в рамках мероприятий.</w:t>
            </w:r>
          </w:p>
        </w:tc>
      </w:tr>
      <w:tr w:rsidR="005A38F3" w:rsidRPr="00DD022D" w:rsidTr="001D29ED">
        <w:trPr>
          <w:trHeight w:val="2070"/>
        </w:trPr>
        <w:tc>
          <w:tcPr>
            <w:tcW w:w="2405" w:type="dxa"/>
          </w:tcPr>
          <w:p w:rsidR="005A38F3" w:rsidRPr="00DD022D" w:rsidRDefault="005A38F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6946" w:type="dxa"/>
            <w:vMerge/>
          </w:tcPr>
          <w:p w:rsidR="005A38F3" w:rsidRPr="00DD022D" w:rsidRDefault="005A38F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C0" w:rsidRPr="00DD022D" w:rsidTr="001D29ED">
        <w:tc>
          <w:tcPr>
            <w:tcW w:w="240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6946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Знаки 6-10 десятизначного кода целевой статьи используются для детализации направлений расходования бюджетных средств в рамках мероприятий подпрограмм государственных программ и (или) непрограммных направлений деятельности.</w:t>
            </w:r>
          </w:p>
        </w:tc>
      </w:tr>
      <w:tr w:rsidR="00700C20" w:rsidRPr="00DD022D" w:rsidTr="00AE1FD2">
        <w:trPr>
          <w:trHeight w:val="539"/>
        </w:trPr>
        <w:tc>
          <w:tcPr>
            <w:tcW w:w="2405" w:type="dxa"/>
          </w:tcPr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6946" w:type="dxa"/>
            <w:vMerge w:val="restart"/>
          </w:tcPr>
          <w:p w:rsidR="00646BAD" w:rsidRPr="00DD022D" w:rsidRDefault="00646BAD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расходов включает группу, подгруппу и элемент вида расходов.</w:t>
            </w:r>
          </w:p>
          <w:p w:rsidR="00646BAD" w:rsidRPr="00DD022D" w:rsidRDefault="00646BAD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Единые для бюджетов бюджетной системы Российской Федерации группами и подгруппами видов расходов устанавливаются </w:t>
            </w:r>
            <w:r w:rsidR="00F84A4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Бюджетным кодексом Российской Федерации. 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Федерации.</w:t>
            </w:r>
          </w:p>
          <w:p w:rsidR="00700C20" w:rsidRPr="00DD022D" w:rsidRDefault="00646BAD" w:rsidP="00A5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(местных бюджетов).</w:t>
            </w:r>
          </w:p>
        </w:tc>
      </w:tr>
      <w:tr w:rsidR="00700C20" w:rsidRPr="00DD022D" w:rsidTr="001D29ED">
        <w:trPr>
          <w:trHeight w:val="967"/>
        </w:trPr>
        <w:tc>
          <w:tcPr>
            <w:tcW w:w="2405" w:type="dxa"/>
          </w:tcPr>
          <w:p w:rsidR="00700C20" w:rsidRPr="00DD022D" w:rsidRDefault="00700C20" w:rsidP="005A3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20" w:rsidRPr="00DD022D" w:rsidTr="001D29ED">
        <w:tc>
          <w:tcPr>
            <w:tcW w:w="2405" w:type="dxa"/>
          </w:tcPr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6946" w:type="dxa"/>
            <w:vMerge/>
          </w:tcPr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20" w:rsidRPr="00DD022D" w:rsidTr="001D29ED">
        <w:tc>
          <w:tcPr>
            <w:tcW w:w="2405" w:type="dxa"/>
          </w:tcPr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6946" w:type="dxa"/>
            <w:vMerge/>
          </w:tcPr>
          <w:p w:rsidR="00700C20" w:rsidRPr="00DD022D" w:rsidRDefault="00700C2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BAD" w:rsidRPr="00DD022D" w:rsidRDefault="00646BAD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b/>
          <w:sz w:val="24"/>
          <w:szCs w:val="24"/>
        </w:rPr>
      </w:pPr>
      <w:r w:rsidRPr="00DD022D">
        <w:rPr>
          <w:rFonts w:ascii="Times New Roman" w:hAnsi="Times New Roman" w:cs="Times New Roman"/>
          <w:b/>
          <w:sz w:val="24"/>
          <w:szCs w:val="24"/>
        </w:rPr>
        <w:t>КЛАССИФИКАЦИЯ ИСТОЧНИКОВ ФИНАНСИРОВАНИЯ ДЕФИЦИТА БЮДЖЕТОВ</w:t>
      </w:r>
    </w:p>
    <w:p w:rsidR="007F337A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ПРИМЕР КОДА КЛАССИФИКАЦИИ ИСТОЧНИКОВ ФИНАНСИРОВАНИЯ ДЕФИЦИТА БЮДЖЕТОВ</w:t>
      </w:r>
    </w:p>
    <w:p w:rsidR="007F337A" w:rsidRPr="00DD022D" w:rsidRDefault="00C0376C" w:rsidP="004222C0">
      <w:pPr>
        <w:rPr>
          <w:rFonts w:ascii="Times New Roman" w:hAnsi="Times New Roman" w:cs="Times New Roman"/>
          <w:sz w:val="24"/>
          <w:szCs w:val="24"/>
        </w:rPr>
      </w:pPr>
      <w:r w:rsidRPr="00C0376C">
        <w:rPr>
          <w:rFonts w:ascii="Times New Roman" w:hAnsi="Times New Roman" w:cs="Times New Roman"/>
          <w:sz w:val="24"/>
          <w:szCs w:val="24"/>
        </w:rPr>
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456"/>
        <w:gridCol w:w="779"/>
        <w:gridCol w:w="698"/>
        <w:gridCol w:w="902"/>
        <w:gridCol w:w="899"/>
      </w:tblGrid>
      <w:tr w:rsidR="004222C0" w:rsidRPr="00DD022D" w:rsidTr="001D29ED">
        <w:tc>
          <w:tcPr>
            <w:tcW w:w="981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981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981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1060" w:type="pct"/>
            <w:gridSpan w:val="3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</w:tc>
        <w:tc>
          <w:tcPr>
            <w:tcW w:w="997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</w:tc>
      </w:tr>
      <w:tr w:rsidR="004222C0" w:rsidRPr="00DD022D" w:rsidTr="001D29ED">
        <w:tc>
          <w:tcPr>
            <w:tcW w:w="981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981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1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4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1" w:type="pct"/>
          </w:tcPr>
          <w:p w:rsidR="004222C0" w:rsidRPr="00DD022D" w:rsidRDefault="004222C0" w:rsidP="001D29ED">
            <w:pPr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6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98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Справочная информация по элементам кода: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1"/>
        <w:gridCol w:w="3067"/>
        <w:gridCol w:w="4224"/>
      </w:tblGrid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 кода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4382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592 – Департамент финансов города Москвы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группы источников финансирования дефицитов бюджетов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 – Источники внутреннего финансирования дефицитов бюджетов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подгруппы источников финансирования дефицитов бюджетов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03 – </w:t>
            </w:r>
            <w:r w:rsidR="00C0376C" w:rsidRPr="00C0376C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01 – </w:t>
            </w:r>
            <w:r w:rsidR="00C0376C" w:rsidRPr="00C0376C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00 – Не применяется в данной группе и подгруппе источников финансирования дефицитов бюджетов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02 – Бюджет субъекта Российской Федерации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подвид источников финансирования дефицитов бюджетов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0000 – Не применяется в бюджете субъекта Российской Федерации – города Москвы</w:t>
            </w:r>
          </w:p>
        </w:tc>
      </w:tr>
      <w:tr w:rsidR="004222C0" w:rsidRPr="00DD022D" w:rsidTr="001D29ED">
        <w:tc>
          <w:tcPr>
            <w:tcW w:w="1818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145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аналитическая группа вида источников финансирования дефицитов бюджетов</w:t>
            </w:r>
          </w:p>
        </w:tc>
        <w:tc>
          <w:tcPr>
            <w:tcW w:w="4382" w:type="dxa"/>
          </w:tcPr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800 – Уменьшение обязательств </w:t>
            </w:r>
          </w:p>
          <w:p w:rsidR="004222C0" w:rsidRPr="00DD022D" w:rsidRDefault="004222C0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810 – </w:t>
            </w:r>
            <w:r w:rsidR="00C0376C" w:rsidRPr="00C0376C">
              <w:rPr>
                <w:rFonts w:ascii="Times New Roman" w:hAnsi="Times New Roman" w:cs="Times New Roman"/>
                <w:sz w:val="24"/>
                <w:szCs w:val="24"/>
              </w:rPr>
              <w:t>Уменьшение внутренних долговых обязательств</w:t>
            </w:r>
          </w:p>
        </w:tc>
      </w:tr>
    </w:tbl>
    <w:p w:rsidR="004222C0" w:rsidRPr="00DD022D" w:rsidRDefault="004222C0" w:rsidP="005F2A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Маска кода:</w:t>
      </w:r>
    </w:p>
    <w:tbl>
      <w:tblPr>
        <w:tblStyle w:val="ad"/>
        <w:tblW w:w="4577" w:type="pct"/>
        <w:tblLook w:val="04A0" w:firstRow="1" w:lastRow="0" w:firstColumn="1" w:lastColumn="0" w:noHBand="0" w:noVBand="1"/>
      </w:tblPr>
      <w:tblGrid>
        <w:gridCol w:w="1455"/>
        <w:gridCol w:w="1455"/>
        <w:gridCol w:w="1454"/>
        <w:gridCol w:w="1111"/>
        <w:gridCol w:w="719"/>
        <w:gridCol w:w="646"/>
        <w:gridCol w:w="1111"/>
        <w:gridCol w:w="1111"/>
      </w:tblGrid>
      <w:tr w:rsidR="004222C0" w:rsidRPr="00DD022D" w:rsidTr="001D29ED"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43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1172" w:type="pct"/>
            <w:gridSpan w:val="3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</w:tc>
        <w:tc>
          <w:tcPr>
            <w:tcW w:w="1593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Блок 5</w:t>
            </w:r>
          </w:p>
        </w:tc>
      </w:tr>
      <w:tr w:rsidR="004222C0" w:rsidRPr="00DD022D" w:rsidTr="001D29ED"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ГРУППЫ ИСТОЧНИКОВ ФИНАНСИРОВАНИЯ ДЕФИЦИТОВ БЮДЖЕТОВ</w:t>
            </w:r>
          </w:p>
        </w:tc>
        <w:tc>
          <w:tcPr>
            <w:tcW w:w="43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ПОДГРУППЫ ИСТОЧНИКОВ ФИНАНСИРОВАНИЯ ДЕФИЦИТОВ БЮДЖЕТОВ</w:t>
            </w:r>
          </w:p>
        </w:tc>
        <w:tc>
          <w:tcPr>
            <w:tcW w:w="1172" w:type="pct"/>
            <w:gridSpan w:val="3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СТАТЬИ ИСТОЧНИКОВ ФИНАНСИРОВАНИЯ ДЕФИЦИТОВ БЮДЖЕТОВ</w:t>
            </w:r>
          </w:p>
        </w:tc>
        <w:tc>
          <w:tcPr>
            <w:tcW w:w="1593" w:type="pct"/>
            <w:gridSpan w:val="2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ИСТОЧНИКОВ ФИНАНСИРОВАНИЯ ДЕФИЦИТОВ БЮДЖЕТОВ</w:t>
            </w:r>
          </w:p>
        </w:tc>
      </w:tr>
      <w:tr w:rsidR="004222C0" w:rsidRPr="00DD022D" w:rsidTr="001D29ED"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3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0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03" w:type="pct"/>
          </w:tcPr>
          <w:p w:rsidR="004222C0" w:rsidRPr="00DD022D" w:rsidRDefault="004222C0" w:rsidP="001D29ED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48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9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79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4222C0" w:rsidRPr="00DD022D" w:rsidTr="001D29ED"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503" w:type="pct"/>
          </w:tcPr>
          <w:p w:rsidR="004222C0" w:rsidRPr="00DD022D" w:rsidRDefault="004222C0" w:rsidP="001D29ED">
            <w:pPr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448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79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подвид источников финансирования дефицитов бюджетов</w:t>
            </w:r>
          </w:p>
        </w:tc>
        <w:tc>
          <w:tcPr>
            <w:tcW w:w="797" w:type="pct"/>
          </w:tcPr>
          <w:p w:rsidR="004222C0" w:rsidRPr="00DD022D" w:rsidRDefault="004222C0" w:rsidP="001D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группа вида источников финансирования дефицитов 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</w:t>
            </w:r>
          </w:p>
        </w:tc>
      </w:tr>
    </w:tbl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</w:p>
    <w:p w:rsidR="004222C0" w:rsidRPr="00DD022D" w:rsidRDefault="004222C0" w:rsidP="004222C0">
      <w:pPr>
        <w:rPr>
          <w:rFonts w:ascii="Times New Roman" w:hAnsi="Times New Roman" w:cs="Times New Roman"/>
          <w:sz w:val="24"/>
          <w:szCs w:val="24"/>
        </w:rPr>
      </w:pPr>
      <w:r w:rsidRPr="00DD022D">
        <w:rPr>
          <w:rFonts w:ascii="Times New Roman" w:hAnsi="Times New Roman" w:cs="Times New Roman"/>
          <w:sz w:val="24"/>
          <w:szCs w:val="24"/>
        </w:rPr>
        <w:t>Справочная информация по элементам маски кода: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580"/>
        <w:gridCol w:w="6771"/>
      </w:tblGrid>
      <w:tr w:rsidR="004222C0" w:rsidRPr="00DD022D" w:rsidTr="001D29ED">
        <w:tc>
          <w:tcPr>
            <w:tcW w:w="2580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 маски кода</w:t>
            </w:r>
          </w:p>
        </w:tc>
        <w:tc>
          <w:tcPr>
            <w:tcW w:w="6771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222C0" w:rsidRPr="00DD022D" w:rsidTr="001D29ED">
        <w:tc>
          <w:tcPr>
            <w:tcW w:w="2580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6771" w:type="dxa"/>
          </w:tcPr>
          <w:p w:rsidR="004222C0" w:rsidRDefault="00A25C62" w:rsidP="00F84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62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источников финансирования дефицита бюджета - определенный в соответствии с Бюджетным кодексом Российской Федерации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администраторов источников финансирования дефицита бюджета и (или) являющиеся администраторами источников финансирования дефицита бюджета.</w:t>
            </w:r>
            <w:r w:rsidR="00F84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A48" w:rsidRDefault="00F84A48" w:rsidP="00F8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источников финансирования дефицита бюджета -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иная организация, имеющие право в соответствии с Бюджетным кодексом Российской Федерации осуществлять операции с источниками финансирования дефицита бюджета. </w:t>
            </w:r>
          </w:p>
          <w:p w:rsidR="00F84A48" w:rsidRPr="00DD022D" w:rsidRDefault="00C0376C" w:rsidP="00CC7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Главному администратору источников финансирования дефицита соответствующего бюджета, обладающему полномочиями главного распорядителя средств и (или) главного администратора доходов данного бюджета, присваивается код главного администратора источников финансирования дефицита бюджета, соответствующий коду главного распорядителя средств и (или) главного администратора доходов бюджета.</w:t>
            </w:r>
          </w:p>
        </w:tc>
      </w:tr>
      <w:tr w:rsidR="004222C0" w:rsidRPr="00DD022D" w:rsidTr="001D29ED">
        <w:tc>
          <w:tcPr>
            <w:tcW w:w="2580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ГРУППЫ ИСТОЧНИКОВ ФИНАНСИРОВАНИЯ ДЕФИЦИТОВ БЮДЖЕТОВ</w:t>
            </w:r>
          </w:p>
        </w:tc>
        <w:tc>
          <w:tcPr>
            <w:tcW w:w="6771" w:type="dxa"/>
          </w:tcPr>
          <w:p w:rsidR="0025173D" w:rsidRPr="00DD022D" w:rsidRDefault="004222C0" w:rsidP="00DD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Четвертый и пятый знаки кода классификации источников финансирования дефицита бюджета позволяют разделить внутренние и внешние источники финансирования дефицита бюджета.</w:t>
            </w:r>
          </w:p>
        </w:tc>
      </w:tr>
      <w:tr w:rsidR="004222C0" w:rsidRPr="00DD022D" w:rsidTr="001D29ED">
        <w:tc>
          <w:tcPr>
            <w:tcW w:w="2580" w:type="dxa"/>
          </w:tcPr>
          <w:p w:rsidR="004222C0" w:rsidRPr="00DD022D" w:rsidRDefault="004222C0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ПОДГРУППЫ ИСТОЧНИКОВ ФИНАНСИРОВАНИЯ ДЕФИЦИТОВ БЮДЖЕТОВ</w:t>
            </w:r>
          </w:p>
        </w:tc>
        <w:tc>
          <w:tcPr>
            <w:tcW w:w="6771" w:type="dxa"/>
          </w:tcPr>
          <w:p w:rsidR="00250F58" w:rsidRPr="00DD022D" w:rsidRDefault="00C0376C" w:rsidP="00250F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6C">
              <w:rPr>
                <w:rFonts w:ascii="Times New Roman" w:hAnsi="Times New Roman" w:cs="Times New Roman"/>
                <w:sz w:val="24"/>
                <w:szCs w:val="24"/>
              </w:rPr>
              <w:t>Шестой и седьмой знаки кода классификации источников финансирования дефицита бюджета позволяют детализировать соответствующую группу источников финансирования дефицита бюджета.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F58" w:rsidRPr="00DD022D" w:rsidRDefault="005C0284" w:rsidP="00250F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«Источники внутреннего финансирования дефицитов бюджетов» </w:t>
            </w:r>
            <w:r w:rsidR="00DD022D" w:rsidRPr="00DD022D">
              <w:rPr>
                <w:rFonts w:ascii="Times New Roman" w:hAnsi="Times New Roman" w:cs="Times New Roman"/>
                <w:sz w:val="24"/>
                <w:szCs w:val="24"/>
              </w:rPr>
              <w:t>входят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22D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>подгруппы:</w:t>
            </w:r>
          </w:p>
          <w:p w:rsidR="00250F58" w:rsidRPr="00DD022D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Федерации;</w:t>
            </w:r>
          </w:p>
          <w:p w:rsidR="00250F58" w:rsidRPr="00DD022D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Федерации;</w:t>
            </w:r>
          </w:p>
          <w:p w:rsidR="00250F58" w:rsidRPr="00DD022D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</w:t>
            </w:r>
            <w:r w:rsidR="00CC7068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других бюджетов бюджетной системы Российской Федерации;</w:t>
            </w:r>
          </w:p>
          <w:p w:rsidR="00250F58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кредиты международных финансовых организаций в валюте Российской Федерации;</w:t>
            </w:r>
          </w:p>
          <w:p w:rsidR="00CC7068" w:rsidRPr="00DD022D" w:rsidRDefault="00CC706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кредиты иностранных банков в валюте Российской Федерации;</w:t>
            </w:r>
          </w:p>
          <w:p w:rsidR="00250F58" w:rsidRPr="00DD022D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бюджета;</w:t>
            </w:r>
          </w:p>
          <w:p w:rsidR="00250F58" w:rsidRPr="00DD022D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  <w:r w:rsidR="00CC7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F58" w:rsidRPr="00DD022D" w:rsidRDefault="005C0284" w:rsidP="00250F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«Источники внешнего финансирования дефицитов бюджетов» </w:t>
            </w:r>
            <w:r w:rsidR="00DD022D"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входят следующие 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>подгруппы:</w:t>
            </w:r>
          </w:p>
          <w:p w:rsidR="00250F58" w:rsidRPr="00DD022D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государственные ценные бумаги, номинальная стоимость которых указана в иностранной валюте;</w:t>
            </w:r>
          </w:p>
          <w:p w:rsidR="00250F58" w:rsidRPr="00DD022D" w:rsidRDefault="00CC706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68">
              <w:rPr>
                <w:rFonts w:ascii="Times New Roman" w:hAnsi="Times New Roman" w:cs="Times New Roman"/>
                <w:sz w:val="24"/>
                <w:szCs w:val="24"/>
              </w:rPr>
              <w:t>кредиты иностранных государств, включая целевые иностранные кредиты, международных финансовых организаций, иных субъектов международного права, иностранных юридических лиц в иностранной валюте</w:t>
            </w:r>
            <w:r w:rsidR="00250F58" w:rsidRPr="00DD02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F58" w:rsidRDefault="00250F5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иностранной валюте;</w:t>
            </w:r>
          </w:p>
          <w:p w:rsidR="00CC7068" w:rsidRPr="00DD022D" w:rsidRDefault="00CC7068" w:rsidP="00250F5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68">
              <w:rPr>
                <w:rFonts w:ascii="Times New Roman" w:hAnsi="Times New Roman" w:cs="Times New Roman"/>
                <w:sz w:val="24"/>
                <w:szCs w:val="24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2C0" w:rsidRPr="00DD022D" w:rsidRDefault="00250F58" w:rsidP="00DD022D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иные источники внешнего финансирования дефицитов бюджетов.</w:t>
            </w:r>
          </w:p>
        </w:tc>
      </w:tr>
      <w:tr w:rsidR="00615D63" w:rsidRPr="00DD022D" w:rsidTr="001D29ED">
        <w:tc>
          <w:tcPr>
            <w:tcW w:w="2580" w:type="dxa"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СТАТЬИ ИСТОЧНИКОВ ФИНАНСИРОВАНИЯ ДЕФИЦИТОВ БЮДЖЕТОВ</w:t>
            </w:r>
          </w:p>
        </w:tc>
        <w:tc>
          <w:tcPr>
            <w:tcW w:w="6771" w:type="dxa"/>
            <w:vMerge w:val="restart"/>
          </w:tcPr>
          <w:p w:rsidR="00615D63" w:rsidRPr="00DD022D" w:rsidRDefault="00615D63" w:rsidP="0074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Предусматривает дальнейшую детализацию источников финансирования дефицита бюджета.</w:t>
            </w:r>
          </w:p>
          <w:p w:rsidR="00615D63" w:rsidRPr="00DD022D" w:rsidRDefault="00250F58" w:rsidP="00CC7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статьи источников финансирования дефицитов бюджетов включает в том числе подстатью и элемент источников финансирования дефицитов бюджетов.</w:t>
            </w:r>
          </w:p>
        </w:tc>
      </w:tr>
      <w:tr w:rsidR="00615D63" w:rsidRPr="00DD022D" w:rsidTr="001D29ED">
        <w:tc>
          <w:tcPr>
            <w:tcW w:w="2580" w:type="dxa"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6771" w:type="dxa"/>
            <w:vMerge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D63" w:rsidRPr="00DD022D" w:rsidTr="001D29ED">
        <w:tc>
          <w:tcPr>
            <w:tcW w:w="2580" w:type="dxa"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6771" w:type="dxa"/>
            <w:vMerge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D63" w:rsidRPr="00DD022D" w:rsidTr="001D29ED">
        <w:tc>
          <w:tcPr>
            <w:tcW w:w="2580" w:type="dxa"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КОД ВИДА ИСТОЧНИКОВ ФИНАНСИРОВАНИЯ ДЕФИЦИТОВ БЮДЖЕТОВ</w:t>
            </w:r>
          </w:p>
        </w:tc>
        <w:tc>
          <w:tcPr>
            <w:tcW w:w="6771" w:type="dxa"/>
            <w:vMerge w:val="restart"/>
          </w:tcPr>
          <w:p w:rsidR="002140AB" w:rsidRPr="00DD022D" w:rsidRDefault="00615D63" w:rsidP="005B7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5F2A6A">
              <w:rPr>
                <w:rFonts w:ascii="Times New Roman" w:hAnsi="Times New Roman" w:cs="Times New Roman"/>
                <w:sz w:val="24"/>
                <w:szCs w:val="24"/>
              </w:rPr>
              <w:t xml:space="preserve">подвида </w:t>
            </w:r>
            <w:r w:rsidR="005F2A6A" w:rsidRPr="005F2A6A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 (14-17 знаки кода классификации доходов бюджетов) состоит из четырех знаков</w:t>
            </w: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7CD9" w:rsidRPr="00DD022D" w:rsidRDefault="00CC7068" w:rsidP="005F2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68">
              <w:rPr>
                <w:rFonts w:ascii="Times New Roman" w:hAnsi="Times New Roman" w:cs="Times New Roman"/>
                <w:sz w:val="24"/>
                <w:szCs w:val="24"/>
              </w:rPr>
              <w:t>Финансовый орган субъекта Российской Федерации утверждает перечень кодов видов источников финансирования дефицитов бюджетов, главными администраторами которых являются органы государственной власти субъектов Российской Федерации, органы управления территориальными государственными внебюджетными фондами и (или) находящиеся в их ведении казенные учреждения, с учетом общих требований к порядку формирования перечня кодов видов источников финансирования дефицитов бюджетов, установленных Порядком формирования и применения кодов бюджетной классификации Российской Федерации, их структуре и принципах назначения, утвержденным приказом Минфина России от 24.05.2022 № 82 н.</w:t>
            </w:r>
          </w:p>
        </w:tc>
      </w:tr>
      <w:tr w:rsidR="00615D63" w:rsidRPr="00DD022D" w:rsidTr="001D29ED">
        <w:tc>
          <w:tcPr>
            <w:tcW w:w="2580" w:type="dxa"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подвид источников финансирования дефицитов бюджетов</w:t>
            </w:r>
          </w:p>
        </w:tc>
        <w:tc>
          <w:tcPr>
            <w:tcW w:w="6771" w:type="dxa"/>
            <w:vMerge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D63" w:rsidRPr="00DD022D" w:rsidTr="001D29ED">
        <w:tc>
          <w:tcPr>
            <w:tcW w:w="2580" w:type="dxa"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D">
              <w:rPr>
                <w:rFonts w:ascii="Times New Roman" w:hAnsi="Times New Roman" w:cs="Times New Roman"/>
                <w:sz w:val="24"/>
                <w:szCs w:val="24"/>
              </w:rPr>
              <w:t>аналитическая группа вида источников финансирования дефицитов бюджетов</w:t>
            </w:r>
          </w:p>
        </w:tc>
        <w:tc>
          <w:tcPr>
            <w:tcW w:w="6771" w:type="dxa"/>
            <w:vMerge/>
          </w:tcPr>
          <w:p w:rsidR="00615D63" w:rsidRPr="00DD022D" w:rsidRDefault="00615D63" w:rsidP="001D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C0" w:rsidRPr="00DD022D" w:rsidRDefault="004222C0" w:rsidP="00960F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22C0" w:rsidRPr="00DD022D" w:rsidSect="00DD022D">
      <w:footerReference w:type="default" r:id="rId8"/>
      <w:pgSz w:w="11906" w:h="16838"/>
      <w:pgMar w:top="709" w:right="1133" w:bottom="1134" w:left="170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9E8" w:rsidRDefault="009C29E8" w:rsidP="008E72CD">
      <w:pPr>
        <w:spacing w:after="0" w:line="240" w:lineRule="auto"/>
      </w:pPr>
      <w:r>
        <w:separator/>
      </w:r>
    </w:p>
  </w:endnote>
  <w:endnote w:type="continuationSeparator" w:id="0">
    <w:p w:rsidR="009C29E8" w:rsidRDefault="009C29E8" w:rsidP="008E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12E" w:rsidRDefault="0014612E" w:rsidP="0014612E">
    <w:pPr>
      <w:pStyle w:val="a7"/>
      <w:tabs>
        <w:tab w:val="clear" w:pos="9355"/>
        <w:tab w:val="left" w:pos="215"/>
        <w:tab w:val="right" w:pos="9072"/>
      </w:tabs>
      <w:rPr>
        <w:rFonts w:ascii="Arial Narrow" w:hAnsi="Arial Narrow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62453</wp:posOffset>
          </wp:positionV>
          <wp:extent cx="1957944" cy="357904"/>
          <wp:effectExtent l="0" t="0" r="4445" b="444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944" cy="35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</w:p>
  <w:p w:rsidR="0014612E" w:rsidRPr="009B1E80" w:rsidRDefault="00E528FD" w:rsidP="0014612E">
    <w:pPr>
      <w:pStyle w:val="a7"/>
      <w:tabs>
        <w:tab w:val="clear" w:pos="9355"/>
        <w:tab w:val="left" w:pos="215"/>
        <w:tab w:val="right" w:pos="9072"/>
      </w:tabs>
      <w:jc w:val="right"/>
      <w:rPr>
        <w:sz w:val="28"/>
        <w:szCs w:val="28"/>
        <w:lang w:val="en-US"/>
      </w:rPr>
    </w:pPr>
    <w:r>
      <w:rPr>
        <w:rFonts w:ascii="Arial Narrow" w:hAnsi="Arial Narrow"/>
        <w:sz w:val="20"/>
        <w:szCs w:val="20"/>
      </w:rPr>
      <w:t xml:space="preserve"> </w:t>
    </w:r>
    <w:hyperlink r:id="rId2" w:history="1">
      <w:r w:rsidR="0014612E" w:rsidRPr="0014612E">
        <w:rPr>
          <w:rStyle w:val="ab"/>
          <w:rFonts w:ascii="Arial Narrow" w:hAnsi="Arial Narrow"/>
          <w:sz w:val="20"/>
          <w:szCs w:val="20"/>
          <w:lang w:val="en-US"/>
        </w:rPr>
        <w:t>http://budget.mos.ru</w:t>
      </w:r>
    </w:hyperlink>
  </w:p>
  <w:p w:rsidR="008E72CD" w:rsidRPr="009B1E80" w:rsidRDefault="009B1E80" w:rsidP="00E528FD">
    <w:pPr>
      <w:pStyle w:val="a9"/>
      <w:jc w:val="right"/>
      <w:rPr>
        <w:rFonts w:ascii="Arial Narrow" w:hAnsi="Arial Narrow"/>
        <w:sz w:val="20"/>
        <w:szCs w:val="20"/>
      </w:rPr>
    </w:pPr>
    <w:r w:rsidRPr="009B1E80">
      <w:rPr>
        <w:rFonts w:ascii="Arial Narrow" w:hAnsi="Arial Narrow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9E8" w:rsidRDefault="009C29E8" w:rsidP="008E72CD">
      <w:pPr>
        <w:spacing w:after="0" w:line="240" w:lineRule="auto"/>
      </w:pPr>
      <w:r>
        <w:separator/>
      </w:r>
    </w:p>
  </w:footnote>
  <w:footnote w:type="continuationSeparator" w:id="0">
    <w:p w:rsidR="009C29E8" w:rsidRDefault="009C29E8" w:rsidP="008E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4F4"/>
    <w:multiLevelType w:val="hybridMultilevel"/>
    <w:tmpl w:val="36FA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0C2"/>
    <w:multiLevelType w:val="multilevel"/>
    <w:tmpl w:val="92265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DE37714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6831020"/>
    <w:multiLevelType w:val="multilevel"/>
    <w:tmpl w:val="BF02681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7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6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30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7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3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56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6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-31536" w:hanging="2160"/>
      </w:pPr>
      <w:rPr>
        <w:rFonts w:hint="default"/>
      </w:rPr>
    </w:lvl>
  </w:abstractNum>
  <w:abstractNum w:abstractNumId="4" w15:restartNumberingAfterBreak="0">
    <w:nsid w:val="4A1E21D5"/>
    <w:multiLevelType w:val="multilevel"/>
    <w:tmpl w:val="D9D667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113C12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B80107A"/>
    <w:multiLevelType w:val="hybridMultilevel"/>
    <w:tmpl w:val="8572DD8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9B3EAD"/>
    <w:multiLevelType w:val="multilevel"/>
    <w:tmpl w:val="AFCCB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F922C26"/>
    <w:multiLevelType w:val="multilevel"/>
    <w:tmpl w:val="AFCCB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3182881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47D27E5"/>
    <w:multiLevelType w:val="hybridMultilevel"/>
    <w:tmpl w:val="74183F34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1" w15:restartNumberingAfterBreak="0">
    <w:nsid w:val="7F7E6010"/>
    <w:multiLevelType w:val="hybridMultilevel"/>
    <w:tmpl w:val="29728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30"/>
    <w:rsid w:val="00001E65"/>
    <w:rsid w:val="000223AE"/>
    <w:rsid w:val="000B65F2"/>
    <w:rsid w:val="000F5E37"/>
    <w:rsid w:val="0014612E"/>
    <w:rsid w:val="0015475D"/>
    <w:rsid w:val="001E1E93"/>
    <w:rsid w:val="001E6B64"/>
    <w:rsid w:val="002140AB"/>
    <w:rsid w:val="00250F58"/>
    <w:rsid w:val="0025173D"/>
    <w:rsid w:val="00390446"/>
    <w:rsid w:val="003B0FAF"/>
    <w:rsid w:val="004222C0"/>
    <w:rsid w:val="00467CD9"/>
    <w:rsid w:val="00486119"/>
    <w:rsid w:val="004A2B1B"/>
    <w:rsid w:val="004F3478"/>
    <w:rsid w:val="00583999"/>
    <w:rsid w:val="005A38F3"/>
    <w:rsid w:val="005B79FB"/>
    <w:rsid w:val="005C0284"/>
    <w:rsid w:val="005C5881"/>
    <w:rsid w:val="005D7C39"/>
    <w:rsid w:val="005E2546"/>
    <w:rsid w:val="005F2A6A"/>
    <w:rsid w:val="00615D63"/>
    <w:rsid w:val="00646BAD"/>
    <w:rsid w:val="006471E6"/>
    <w:rsid w:val="00695E13"/>
    <w:rsid w:val="006C66D3"/>
    <w:rsid w:val="006C6A4A"/>
    <w:rsid w:val="00700C20"/>
    <w:rsid w:val="00735321"/>
    <w:rsid w:val="00736037"/>
    <w:rsid w:val="00742F16"/>
    <w:rsid w:val="007A7B4E"/>
    <w:rsid w:val="007C0ADC"/>
    <w:rsid w:val="007E0FB2"/>
    <w:rsid w:val="007F337A"/>
    <w:rsid w:val="00832366"/>
    <w:rsid w:val="0089071D"/>
    <w:rsid w:val="008916DD"/>
    <w:rsid w:val="00895B05"/>
    <w:rsid w:val="008A0528"/>
    <w:rsid w:val="008A4716"/>
    <w:rsid w:val="008B32B1"/>
    <w:rsid w:val="008C3E43"/>
    <w:rsid w:val="008C6298"/>
    <w:rsid w:val="008E0FE8"/>
    <w:rsid w:val="008E1DBA"/>
    <w:rsid w:val="008E72CD"/>
    <w:rsid w:val="008F1C7C"/>
    <w:rsid w:val="00933973"/>
    <w:rsid w:val="00960F2E"/>
    <w:rsid w:val="00967917"/>
    <w:rsid w:val="009960FB"/>
    <w:rsid w:val="009B1E80"/>
    <w:rsid w:val="009C29E8"/>
    <w:rsid w:val="00A25C62"/>
    <w:rsid w:val="00A50AB3"/>
    <w:rsid w:val="00A563F4"/>
    <w:rsid w:val="00A92B91"/>
    <w:rsid w:val="00B03C20"/>
    <w:rsid w:val="00B07D17"/>
    <w:rsid w:val="00B93730"/>
    <w:rsid w:val="00BD784A"/>
    <w:rsid w:val="00BE0095"/>
    <w:rsid w:val="00C02BC9"/>
    <w:rsid w:val="00C0376C"/>
    <w:rsid w:val="00CA59CC"/>
    <w:rsid w:val="00CA5D4F"/>
    <w:rsid w:val="00CC7068"/>
    <w:rsid w:val="00CE06AB"/>
    <w:rsid w:val="00CE638A"/>
    <w:rsid w:val="00CE75D7"/>
    <w:rsid w:val="00D473F5"/>
    <w:rsid w:val="00D53521"/>
    <w:rsid w:val="00D53F39"/>
    <w:rsid w:val="00DD022D"/>
    <w:rsid w:val="00E528FD"/>
    <w:rsid w:val="00E9716A"/>
    <w:rsid w:val="00F019DA"/>
    <w:rsid w:val="00F15BB9"/>
    <w:rsid w:val="00F7291F"/>
    <w:rsid w:val="00F84A48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F916"/>
  <w15:chartTrackingRefBased/>
  <w15:docId w15:val="{8BA9B8CD-5583-436F-956F-D585322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B1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916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E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F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2CD"/>
  </w:style>
  <w:style w:type="paragraph" w:styleId="a9">
    <w:name w:val="footer"/>
    <w:basedOn w:val="a"/>
    <w:link w:val="aa"/>
    <w:uiPriority w:val="99"/>
    <w:unhideWhenUsed/>
    <w:rsid w:val="008E7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2CD"/>
  </w:style>
  <w:style w:type="character" w:styleId="ab">
    <w:name w:val="Hyperlink"/>
    <w:basedOn w:val="a0"/>
    <w:uiPriority w:val="99"/>
    <w:unhideWhenUsed/>
    <w:rsid w:val="00E528F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399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42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udget.mo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EEBF-7D2F-4D0A-BBA8-D55E1AF8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ПАРМАЛОГИКА</Company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Korniychuk, Elena S.</dc:creator>
  <cp:keywords/>
  <dc:description/>
  <cp:lastModifiedBy>Gordeeva, Sofia D.</cp:lastModifiedBy>
  <cp:revision>5</cp:revision>
  <cp:lastPrinted>2018-06-21T07:41:00Z</cp:lastPrinted>
  <dcterms:created xsi:type="dcterms:W3CDTF">2020-03-20T06:22:00Z</dcterms:created>
  <dcterms:modified xsi:type="dcterms:W3CDTF">2024-09-26T02:49:00Z</dcterms:modified>
</cp:coreProperties>
</file>